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014/04 vom 6. Mai 2004</w:t>
      </w:r>
    </w:p>
    <w:p>
      <w:r>
        <w:t>Bundesstrafgericht, 2004-05-06, DE</w:t>
      </w:r>
    </w:p>
    <w:p>
      <w:r>
        <w:rPr>
          <w:b/>
        </w:rPr>
        <w:t xml:space="preserve">Quelle: </w:t>
      </w:r>
      <w:r>
        <w:t>https://mcp.opencaselaw.ch/entscheid/bstger_BK_G 014_04</w:t>
      </w:r>
    </w:p>
    <w:p>
      <w:r>
        <w:t>FR: TPF BK_G 014/04 du 6 mai 2004</w:t>
      </w:r>
    </w:p>
    <w:p>
      <w:r>
        <w:t>IT: TPF BK_G 014/04 del 6 maggio 2004</w:t>
      </w:r>
    </w:p>
    <w:p>
      <w:pPr>
        <w:pStyle w:val="Heading2"/>
      </w:pPr>
      <w:r>
        <w:t>Regeste</w:t>
      </w:r>
    </w:p>
    <w:p>
      <w:r>
        <w:t>Bestimmung des Gerichtsstandes i.S. A.______, B.______, C.______ (Art. 350 StGB, Art. 262 BStP)</w:t>
      </w:r>
    </w:p>
    <w:p>
      <w:pPr>
        <w:pStyle w:val="Heading2"/>
      </w:pPr>
      <w:r>
        <w:t>Erwägungen</w:t>
      </w:r>
    </w:p>
    <w:p>
      <w:r>
        <w:rPr>
          <w:b/>
        </w:rPr>
        <w:t>E. 1</w:t>
      </w:r>
    </w:p>
    <w:p>
      <w:r>
        <w:t>Die Zuständigkeit der Beschwerdekammer des Bundesstrafgerichts zum Entscheid über die bei der - per 31. März 2004 aufgelösten - Anklagekam- mer des Bundesgerichts hängigen Verfahren betreffend Gerichtsstands- streitigkeiten ergibt sich aus Art. 33 Abs. 1 i.V.m. 28 Abs. 1 lit. g SGG bzw. Art. 351 StGB bzw. Art. 279 Abs. 1 BStP.</w:t>
      </w:r>
    </w:p>
    <w:p>
      <w:r>
        <w:t>Das Verfahren richtet sich sachgemäss nach den Art. 214 – 219 BStP.</w:t>
      </w:r>
    </w:p>
    <w:p>
      <w:r>
        <w:rPr>
          <w:b/>
        </w:rPr>
        <w:t>E. 2.1</w:t>
      </w:r>
    </w:p>
    <w:p>
      <w:r>
        <w:t>Die Staatsanwaltschaft Luzern einerseits und das Amtsstatthalteramt Ar- lesheim sind nach ihrer kantonsinternen Zuständigkeitsordnung berechtigt, bei interkantonalen Gerichtsstandkonflikten den Kanton nach Aussen zu vertreten (SCHWERI/BÄNZIGER, Interkantonale Gerichtsstandsbestimmung in Strafsachen, 2. Aufl., Bern 2004, Anhang II). Die übrigen Kantone, in denen mutmassliche Sachverhalte gesetzt wurden, sind vom vorliegenden Zu- ständigkeitskonflikt nicht betroffen.</w:t>
      </w:r>
    </w:p>
    <w:p>
      <w:r>
        <w:rPr>
          <w:b/>
        </w:rPr>
        <w:t>E. 2.2</w:t>
      </w:r>
    </w:p>
    <w:p>
      <w:r>
        <w:t>Für die Anrufung der Beschwerdekammer des Bundesstrafgerichts besteht keine Frist. Im Interesse eines beförderlichen Verfahrensganges kann je- doch nicht beliebig lange mit der Bestimmung der Zuständigkeit zugewartet werden. Was diesbezüglich für den Beschuldigten, der die Zuständigkeit eines Kantons bestreitet, gilt (SCHWERI/BÄNZIGER, a.a.O., N. 623), muss auch für die Behörden eines Kantons gelten, bei denen die Ermittlungen hängig sind und die ihre Zuständigkeit bestreiten.</w:t>
      </w:r>
    </w:p>
    <w:p>
      <w:r>
        <w:t>Im vorliegenden Fall wandte sich der Kanton Luzern am 4. April 2003 erst- mals an die Behörden des Kantons Baselland, welche am 7. Mai 2003 Stel- lung nahmen, was zu einem zweiten Schriftenwechsel mit Schreiben vom 24. Juli 2003 bzw. Antwort vom 18. August 2003 führte (Doss V, Fasz., zum Verfahren, Gerichtsstand). Nach dem Schreiben des Kantons Basel- land vom 18. August 2003 reagierte der Kanton Luzern nicht mehr. Erst mit Eingabe vom 20. Februar 2004, also volle sechs Monate später, gelangte er an die Anklagekammer des Bundesgerichts zur Bestimmung der Zu- ständigkeit. Eine konkludente Anerkennung des Gerichtsstands durch den Kanton Luzern kann trotz dieser langen Zeitdauer noch nicht angenommen werden (siehe SCHWERI/BÄNZIGER, a.a.O., N. 443 ff., insbesondere N. 448 f.). Indessen ist fraglich, ob das lange Zuwarten der Behörden des Kantons Luzern mit dem Anhängigmachen des Zuständigkeitsstreites gegen Treu und Glauben verstiess, mithin missbräuchlich war. Das Prinzip des Handels</w:t>
      </w:r>
    </w:p>
    <w:p>
      <w:r>
        <w:t>- 4 -</w:t>
      </w:r>
    </w:p>
    <w:p>
      <w:r>
        <w:t>nach Treu und Glauben gilt auch im Strafprozessrecht und ist von allen Verfahrensbeteiligten – auch kantonalen Behörden – zu beachten. Das lan- ge Zuwarten der Behörden des Kantons Luzern nach einem abgeschlosse- nen Schriftenwechsel mit dem anderen Kanton - und ohne dass sich dar- aus noch ein weiterer Abklärungsbedarf (bezüglich Zuständigkeit) ergeben hätte - stellt einen klaren Verstoss gegen das Beschleunigungsgebot dar. Die Anrufung der für die Bestimmung der Zuständigkeit zuständigen eidge- nössischen Behörde ist unter diesen Umständen jedenfalls an der Grenze des Verstosses gegen Treu und Glauben.</w:t>
      </w:r>
    </w:p>
    <w:p>
      <w:r>
        <w:rPr>
          <w:b/>
        </w:rPr>
        <w:t>E. 3</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Sind diese strafbaren Handlungen mit der gleichen Strafe bedroht, so sind die Behörden des Ortes zuständig, wo die Untersuchung zuerst an- gehoben wird (Art. 350 Ziff. 1 Abs. 2 StGB).</w:t>
      </w:r>
    </w:p>
    <w:p>
      <w:r>
        <w:t>Vorliegend ist unbestritten, dass bei den mehreren gleich schweren Delik- ten in verschiedenen Kantonen das Verfahren zuerst im Kanton Baselland angehoben worden ist. Der Kanton Luzern beruft sich denn auch auf Art. 350 Abs. 1 StGB. Dem hält der Kanton Baselland entgegen, vom ge- setzlichen Gerichtsstand sei hier gestützt auf Art. 262 BStP abzuweichen, weil ein offensichtliches Schwergewicht im Kanton Luzern liege, während der Kanton Baselland nur am Rande tangiert sei. Überdies sei das Verfah- ren im Kanton Luzern bereits fortgeschritten.</w:t>
      </w:r>
    </w:p>
    <w:p>
      <w:r>
        <w:t>Die Kantonspolizei Luzern hat in der Tat das Verfahren vorangetrieben, zahlreiche Einvernahmen der grundsätzlich geständigen Angeschuldigten gemacht und Abklärungen bezüglich der Geschädigten getätigt. Daraus kann dem Kanton Luzern jedoch kein Nachteil im Zuständigkeitsstreit er- wachsen. Das Verfahren ist noch nicht so weit fortgeschritten, dass von ei- ner praktisch beendeten Untersuchung gesprochen werden müsste (SCHWERI/BÄNZIGER, a.a.O., N. 518).</w:t>
      </w:r>
    </w:p>
    <w:p>
      <w:r>
        <w:t>Nachdem der Kanton Baselland nur von einem Sachverhalt betroffen ist, dieser jedoch als erster zur Anzeige gelangte, kommt es deshalb allein darauf an, ob insgesamt ein Schwergewicht von Sachverhalten im Kanton Luzern anzunehmen ist. Nach der bisherigen Rechtssprechung der Ankla- gekammer des Bundesgerichts war bei der Bestimmung des Schwerge- wichts nicht einfach eine rein arithmetische Gegenüberstellung der Anzahl</w:t>
      </w:r>
    </w:p>
    <w:p>
      <w:r>
        <w:t>- 5 -</w:t>
      </w:r>
    </w:p>
    <w:p>
      <w:r>
        <w:t>Verfehlungen vorzunehmen, sondern es waren auch andere Vergleiche anzustellen (SCHWERI/BÄNZIGER, a.a.O., N. 458). Andere Kriterien, wie et- wa Delikts- oder Schadensbeträge – die konkrete Bedeutung hängt in An- betracht des speziellen Deliktsguts nicht einfach vom ohnehin schwierig zu ergründenden Geldwert ab –, gelangen hier nicht zur Anwendung. Nach der bisherigen Rechtssprechung wurde die Grenze für ein Schwergewicht bei rund zwei Dritteln einer grösseren Anzahl von vergleichbaren Straftaten bejaht, während bei einem Drittel regelmässig noch ein hinreichendes Schwergewicht für ein Abweichen vom gesetzlichen Gerichtsstand verneint wurde (BGE 129 IV 202 E. 2 S. 203, mit Verweis auf die Praxis der Ankla- gekammer). Dabei sind alle Delikte zu berücksichtigten, nicht nur jene, die in den zwei Kantonen begangen wurden, zwischen welchen der Gerichts- stand streitig ist. Vorliegend ist unter Ausklammerung der den Kanton Wal- lis betreffenden Fälle (und der hier nicht interessierenden Sachverhalte in Frankreich) von 27 – 28 Fällen auszugehen. Mit rund 12 Fällen ist der Kan- ton Luzern mit weniger als der Hälfte der zu beurteilenden Fälle betroffen, ein offensichtliches Schwergewicht liegt im Quervergleich mit der bisheri- gen Praxis (siehe die Kasuistik bei SCHWERI/BÄNZIGER, a.a.O, N. 460 ff., für den vorliegenden Fall insbesondere N. 477) damit hier noch nicht vor.</w:t>
      </w:r>
    </w:p>
    <w:p>
      <w:r>
        <w:t>Zusammenfassend ist damit das Gesuch der Staatsanwaltschaft des Kan- tons Luzern gutzuheissen und der Kanton Baselland berechtigt und ver- pflichtet zu erklären, das Strafverfahren gegen die Beschuldigten zu führen.</w:t>
      </w:r>
    </w:p>
    <w:p>
      <w:r>
        <w:rPr>
          <w:b/>
        </w:rPr>
        <w:t>E. 4</w:t>
      </w:r>
    </w:p>
    <w:p>
      <w:r>
        <w:t>Es werden keine Kosten erhoben.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